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AD9" w:rsidRDefault="003F0AD9" w:rsidP="008028A3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Ce plătim mai mult și cine </w:t>
      </w:r>
      <w:proofErr w:type="gramStart"/>
      <w:r>
        <w:rPr>
          <w:rFonts w:ascii="Arial" w:eastAsia="Times New Roman" w:hAnsi="Arial" w:cs="Arial"/>
          <w:bCs/>
          <w:kern w:val="36"/>
          <w:sz w:val="28"/>
          <w:szCs w:val="28"/>
        </w:rPr>
        <w:t>este</w:t>
      </w:r>
      <w:proofErr w:type="gram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a</w:t>
      </w:r>
      <w:r w:rsidRPr="003F0AD9">
        <w:rPr>
          <w:rFonts w:ascii="Arial" w:eastAsia="Times New Roman" w:hAnsi="Arial" w:cs="Arial"/>
          <w:bCs/>
          <w:kern w:val="36"/>
          <w:sz w:val="28"/>
          <w:szCs w:val="28"/>
        </w:rPr>
        <w:t>fectat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?</w:t>
      </w:r>
    </w:p>
    <w:p w:rsidR="003F0AD9" w:rsidRDefault="003F0AD9" w:rsidP="008028A3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</w:p>
    <w:p w:rsidR="009B62D7" w:rsidRDefault="003F0AD9" w:rsidP="008028A3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Titlu - </w:t>
      </w:r>
      <w:bookmarkStart w:id="0" w:name="_GoBack"/>
      <w:bookmarkEnd w:id="0"/>
      <w:r w:rsidR="009B62D7">
        <w:rPr>
          <w:rFonts w:ascii="Arial" w:eastAsia="Times New Roman" w:hAnsi="Arial" w:cs="Arial"/>
          <w:bCs/>
          <w:kern w:val="36"/>
          <w:sz w:val="28"/>
          <w:szCs w:val="28"/>
        </w:rPr>
        <w:t>Val de scumpiri, după intrarea în vigoare a noilor măsuri fiscal</w:t>
      </w:r>
      <w:r w:rsidR="00492AE9">
        <w:rPr>
          <w:rFonts w:ascii="Arial" w:eastAsia="Times New Roman" w:hAnsi="Arial" w:cs="Arial"/>
          <w:bCs/>
          <w:kern w:val="36"/>
          <w:sz w:val="28"/>
          <w:szCs w:val="28"/>
        </w:rPr>
        <w:t>e</w:t>
      </w:r>
    </w:p>
    <w:p w:rsidR="003F0AD9" w:rsidRDefault="009B62D7" w:rsidP="009B62D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@ </w:t>
      </w:r>
      <w:r w:rsidR="003F0AD9">
        <w:rPr>
          <w:rFonts w:ascii="Arial" w:eastAsia="Times New Roman" w:hAnsi="Arial" w:cs="Arial"/>
          <w:bCs/>
          <w:kern w:val="36"/>
          <w:sz w:val="28"/>
          <w:szCs w:val="28"/>
        </w:rPr>
        <w:t xml:space="preserve">România </w:t>
      </w:r>
      <w:proofErr w:type="gramStart"/>
      <w:r w:rsidR="003F0AD9">
        <w:rPr>
          <w:rFonts w:ascii="Arial" w:eastAsia="Times New Roman" w:hAnsi="Arial" w:cs="Arial"/>
          <w:bCs/>
          <w:kern w:val="36"/>
          <w:sz w:val="28"/>
          <w:szCs w:val="28"/>
        </w:rPr>
        <w:t>a</w:t>
      </w:r>
      <w:proofErr w:type="gramEnd"/>
      <w:r w:rsidR="003F0AD9">
        <w:rPr>
          <w:rFonts w:ascii="Arial" w:eastAsia="Times New Roman" w:hAnsi="Arial" w:cs="Arial"/>
          <w:bCs/>
          <w:kern w:val="36"/>
          <w:sz w:val="28"/>
          <w:szCs w:val="28"/>
        </w:rPr>
        <w:t xml:space="preserve"> intrat, la 1 august, </w:t>
      </w:r>
      <w:r w:rsidR="00C72B61" w:rsidRPr="00C72B61">
        <w:rPr>
          <w:rFonts w:ascii="Arial" w:eastAsia="Times New Roman" w:hAnsi="Arial" w:cs="Arial"/>
          <w:bCs/>
          <w:kern w:val="36"/>
          <w:sz w:val="28"/>
          <w:szCs w:val="28"/>
        </w:rPr>
        <w:t>într-o nouă etapă fiscală care aduce schimbări importante în consum, transport, impo</w:t>
      </w:r>
      <w:r w:rsidR="003F0AD9">
        <w:rPr>
          <w:rFonts w:ascii="Arial" w:eastAsia="Times New Roman" w:hAnsi="Arial" w:cs="Arial"/>
          <w:bCs/>
          <w:kern w:val="36"/>
          <w:sz w:val="28"/>
          <w:szCs w:val="28"/>
        </w:rPr>
        <w:t>zitare și sistemul de sănătate</w:t>
      </w:r>
    </w:p>
    <w:p w:rsidR="003F0AD9" w:rsidRDefault="003F0AD9" w:rsidP="009B62D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</w:p>
    <w:p w:rsidR="003F0AD9" w:rsidRDefault="003F0AD9" w:rsidP="009B62D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</w:p>
    <w:p w:rsidR="009B62D7" w:rsidRDefault="009B62D7" w:rsidP="009B62D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>De la 1 august 2025, au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intra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t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în vigoare primele măsuri fiscale adoptate de Guvern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ul Bolojan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. Printre cele mai semnificative modificări cu impact direct asupra populației se numără majorarea TVA, introducerea obligației de plată a contribuției de asigurări sociale de sănătate (CASS) pentru pensiile care depășesc 3.000 de lei, creșterea accizelor, precum și schimbările din sistemul de 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asigurări de sănătate.</w:t>
      </w:r>
    </w:p>
    <w:p w:rsidR="009B62D7" w:rsidRDefault="009B62D7" w:rsidP="009B62D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</w:p>
    <w:p w:rsidR="009B62D7" w:rsidRDefault="009B62D7" w:rsidP="009B62D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>Carmen ISTRATE</w:t>
      </w:r>
    </w:p>
    <w:p w:rsidR="00492AE9" w:rsidRDefault="009B62D7" w:rsidP="009B62D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proofErr w:type="gramStart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Astfel, dacă ne referim la nivelul 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>accizelor pentru mai multe categorii de produse, ca parte a noului pachet fiscal aprobat pentr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u reducerea deficitului bugetar, r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omânii 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vor plăti mai mult pentru: c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arburanți (benzină, motorină): 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unde acciza a crescut cu 10%; băuturi alcoolice: acciza a crescut tot cu 10%; t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>utun și produse din tutun prelucrat (inclus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iv alternative fără ardere): +3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%; 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lastRenderedPageBreak/>
        <w:t>b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ăuturi nealcoolice cu zahăr adăugat: </w:t>
      </w:r>
      <w:r w:rsidR="00492AE9">
        <w:rPr>
          <w:rFonts w:ascii="Arial" w:eastAsia="Times New Roman" w:hAnsi="Arial" w:cs="Arial"/>
          <w:bCs/>
          <w:kern w:val="36"/>
          <w:sz w:val="28"/>
          <w:szCs w:val="28"/>
        </w:rPr>
        <w:t>unde acciza s-a majorat în funcție de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r w:rsidR="00492AE9">
        <w:rPr>
          <w:rFonts w:ascii="Arial" w:eastAsia="Times New Roman" w:hAnsi="Arial" w:cs="Arial"/>
          <w:bCs/>
          <w:kern w:val="36"/>
          <w:sz w:val="28"/>
          <w:szCs w:val="28"/>
        </w:rPr>
        <w:t>cantitatea de zahăr.</w:t>
      </w:r>
      <w:proofErr w:type="gramEnd"/>
    </w:p>
    <w:p w:rsidR="00492AE9" w:rsidRDefault="002D6472" w:rsidP="009B62D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Două cote de </w:t>
      </w:r>
      <w:r w:rsidR="00492AE9">
        <w:rPr>
          <w:rFonts w:ascii="Arial" w:eastAsia="Times New Roman" w:hAnsi="Arial" w:cs="Arial"/>
          <w:bCs/>
          <w:kern w:val="36"/>
          <w:sz w:val="28"/>
          <w:szCs w:val="28"/>
        </w:rPr>
        <w:t xml:space="preserve">TVA 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- </w:t>
      </w:r>
      <w:r w:rsidR="00492AE9">
        <w:rPr>
          <w:rFonts w:ascii="Arial" w:eastAsia="Times New Roman" w:hAnsi="Arial" w:cs="Arial"/>
          <w:bCs/>
          <w:kern w:val="36"/>
          <w:sz w:val="28"/>
          <w:szCs w:val="28"/>
        </w:rPr>
        <w:t>de 11% și 21%</w:t>
      </w:r>
    </w:p>
    <w:p w:rsidR="002D6472" w:rsidRPr="002D6472" w:rsidRDefault="00492AE9" w:rsidP="002D6472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>Cotele TVA pentru alimente și medicamente sunt acum mai mari, în condițiile în care, până la 1 august, România avea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trei cote TVA, respectiv de 5%, 9% și 19%. De la 1 august 2025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au rămas 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>două cote TVA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- 11% și 21%.</w:t>
      </w:r>
      <w:r w:rsidR="002D6472">
        <w:rPr>
          <w:rFonts w:ascii="Arial" w:eastAsia="Times New Roman" w:hAnsi="Arial" w:cs="Arial"/>
          <w:bCs/>
          <w:kern w:val="36"/>
          <w:sz w:val="28"/>
          <w:szCs w:val="28"/>
        </w:rPr>
        <w:t xml:space="preserve"> Cota de 11% se aplică doar </w:t>
      </w:r>
      <w:r w:rsidR="002D6472" w:rsidRPr="002D6472">
        <w:rPr>
          <w:rFonts w:ascii="Arial" w:eastAsia="Times New Roman" w:hAnsi="Arial" w:cs="Arial"/>
          <w:bCs/>
          <w:kern w:val="36"/>
          <w:sz w:val="28"/>
          <w:szCs w:val="28"/>
        </w:rPr>
        <w:t xml:space="preserve">pentru: alimente, medicamente, cărți, HoReCa, lemne de foc, </w:t>
      </w:r>
      <w:proofErr w:type="gramStart"/>
      <w:r w:rsidR="002D6472" w:rsidRPr="002D6472">
        <w:rPr>
          <w:rFonts w:ascii="Arial" w:eastAsia="Times New Roman" w:hAnsi="Arial" w:cs="Arial"/>
          <w:bCs/>
          <w:kern w:val="36"/>
          <w:sz w:val="28"/>
          <w:szCs w:val="28"/>
        </w:rPr>
        <w:t>apă</w:t>
      </w:r>
      <w:proofErr w:type="gramEnd"/>
      <w:r w:rsidR="002D6472" w:rsidRPr="002D6472">
        <w:rPr>
          <w:rFonts w:ascii="Arial" w:eastAsia="Times New Roman" w:hAnsi="Arial" w:cs="Arial"/>
          <w:bCs/>
          <w:kern w:val="36"/>
          <w:sz w:val="28"/>
          <w:szCs w:val="28"/>
        </w:rPr>
        <w:t xml:space="preserve"> potabilă, canalizare, apă pentru irigații</w:t>
      </w:r>
      <w:r w:rsidR="002D6472">
        <w:rPr>
          <w:rFonts w:ascii="Arial" w:eastAsia="Times New Roman" w:hAnsi="Arial" w:cs="Arial"/>
          <w:bCs/>
          <w:kern w:val="36"/>
          <w:sz w:val="28"/>
          <w:szCs w:val="28"/>
        </w:rPr>
        <w:t xml:space="preserve"> în agricultură și îngrășăminte, restul serviciilor</w:t>
      </w:r>
      <w:r w:rsidR="002D6472" w:rsidRPr="002D6472">
        <w:rPr>
          <w:rFonts w:ascii="Arial" w:eastAsia="Times New Roman" w:hAnsi="Arial" w:cs="Arial"/>
          <w:bCs/>
          <w:kern w:val="36"/>
          <w:sz w:val="28"/>
          <w:szCs w:val="28"/>
        </w:rPr>
        <w:t xml:space="preserve"> și produsele din România </w:t>
      </w:r>
      <w:r w:rsidR="002D6472">
        <w:rPr>
          <w:rFonts w:ascii="Arial" w:eastAsia="Times New Roman" w:hAnsi="Arial" w:cs="Arial"/>
          <w:bCs/>
          <w:kern w:val="36"/>
          <w:sz w:val="28"/>
          <w:szCs w:val="28"/>
        </w:rPr>
        <w:t xml:space="preserve">fiind taxate </w:t>
      </w:r>
      <w:r w:rsidR="002D6472" w:rsidRPr="002D6472">
        <w:rPr>
          <w:rFonts w:ascii="Arial" w:eastAsia="Times New Roman" w:hAnsi="Arial" w:cs="Arial"/>
          <w:bCs/>
          <w:kern w:val="36"/>
          <w:sz w:val="28"/>
          <w:szCs w:val="28"/>
        </w:rPr>
        <w:t xml:space="preserve">cu TVA 21%. Inclusiv panourile fotovoltaice, locuințele de sub 120 mp și </w:t>
      </w:r>
      <w:proofErr w:type="gramStart"/>
      <w:r w:rsidR="002D6472" w:rsidRPr="002D6472">
        <w:rPr>
          <w:rFonts w:ascii="Arial" w:eastAsia="Times New Roman" w:hAnsi="Arial" w:cs="Arial"/>
          <w:bCs/>
          <w:kern w:val="36"/>
          <w:sz w:val="28"/>
          <w:szCs w:val="28"/>
        </w:rPr>
        <w:t>un</w:t>
      </w:r>
      <w:proofErr w:type="gramEnd"/>
      <w:r w:rsidR="002D6472" w:rsidRPr="002D6472">
        <w:rPr>
          <w:rFonts w:ascii="Arial" w:eastAsia="Times New Roman" w:hAnsi="Arial" w:cs="Arial"/>
          <w:bCs/>
          <w:kern w:val="36"/>
          <w:sz w:val="28"/>
          <w:szCs w:val="28"/>
        </w:rPr>
        <w:t xml:space="preserve"> preț mai mic de 120.000 euro, sau protezele dentare. </w:t>
      </w:r>
      <w:r w:rsidR="002D6472">
        <w:rPr>
          <w:rFonts w:ascii="Arial" w:eastAsia="Times New Roman" w:hAnsi="Arial" w:cs="Arial"/>
          <w:bCs/>
          <w:kern w:val="36"/>
          <w:sz w:val="28"/>
          <w:szCs w:val="28"/>
        </w:rPr>
        <w:t>A</w:t>
      </w:r>
      <w:r w:rsidR="002D6472" w:rsidRPr="002D6472">
        <w:rPr>
          <w:rFonts w:ascii="Arial" w:eastAsia="Times New Roman" w:hAnsi="Arial" w:cs="Arial"/>
          <w:bCs/>
          <w:kern w:val="36"/>
          <w:sz w:val="28"/>
          <w:szCs w:val="28"/>
        </w:rPr>
        <w:t>ceste categorii beneficiau</w:t>
      </w:r>
      <w:r w:rsidR="002D6472">
        <w:rPr>
          <w:rFonts w:ascii="Arial" w:eastAsia="Times New Roman" w:hAnsi="Arial" w:cs="Arial"/>
          <w:bCs/>
          <w:kern w:val="36"/>
          <w:sz w:val="28"/>
          <w:szCs w:val="28"/>
        </w:rPr>
        <w:t>, până la 1 august 2025,</w:t>
      </w:r>
      <w:r w:rsidR="002D6472" w:rsidRPr="002D6472">
        <w:rPr>
          <w:rFonts w:ascii="Arial" w:eastAsia="Times New Roman" w:hAnsi="Arial" w:cs="Arial"/>
          <w:bCs/>
          <w:kern w:val="36"/>
          <w:sz w:val="28"/>
          <w:szCs w:val="28"/>
        </w:rPr>
        <w:t xml:space="preserve"> de TVA redus.</w:t>
      </w:r>
    </w:p>
    <w:p w:rsidR="002D6472" w:rsidRDefault="002D6472" w:rsidP="009B62D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proofErr w:type="gramStart"/>
      <w:r>
        <w:rPr>
          <w:rFonts w:ascii="Arial" w:eastAsia="Times New Roman" w:hAnsi="Arial" w:cs="Arial"/>
          <w:bCs/>
          <w:kern w:val="36"/>
          <w:sz w:val="28"/>
          <w:szCs w:val="28"/>
        </w:rPr>
        <w:t>Mai detaliat - s</w:t>
      </w:r>
      <w:r w:rsidR="00492AE9">
        <w:rPr>
          <w:rFonts w:ascii="Arial" w:eastAsia="Times New Roman" w:hAnsi="Arial" w:cs="Arial"/>
          <w:bCs/>
          <w:kern w:val="36"/>
          <w:sz w:val="28"/>
          <w:szCs w:val="28"/>
        </w:rPr>
        <w:t>-a eliminat aplicarea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cotei reduse de 5% și </w:t>
      </w:r>
      <w:r w:rsidR="00492AE9">
        <w:rPr>
          <w:rFonts w:ascii="Arial" w:eastAsia="Times New Roman" w:hAnsi="Arial" w:cs="Arial"/>
          <w:bCs/>
          <w:kern w:val="36"/>
          <w:sz w:val="28"/>
          <w:szCs w:val="28"/>
        </w:rPr>
        <w:t xml:space="preserve">se aplică 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>11% asupra bazei de impozitare pentru următoarele prestări de servicii și/sau livrări de bunuri precum: livrarea de medicamente de</w:t>
      </w:r>
      <w:r w:rsidR="00492AE9">
        <w:rPr>
          <w:rFonts w:ascii="Arial" w:eastAsia="Times New Roman" w:hAnsi="Arial" w:cs="Arial"/>
          <w:bCs/>
          <w:kern w:val="36"/>
          <w:sz w:val="28"/>
          <w:szCs w:val="28"/>
        </w:rPr>
        <w:t xml:space="preserve"> uz uman; băuturilor alcoolice/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băuturilor nealcoolice; livrarea următoarelor bunuri: alimente, inclusiv băuturi, destinate consumului uman și animal, animale și păsări vii din specii domestice, ale căror coduri NC se stabilesc prin normele metodologice, cu excepția: băuturilor alcoolice/ băuturilor nealcoolice care se încadrează la codul NC 2202; alimentelor cu zahăr adăugat, al căror conținut total de zahăr este de minimum 10 g/100 g produs, altele decât laptele praf pentru nou-născuți, sugari și copii de vârstă mică; suplimentelor </w:t>
      </w:r>
      <w:r w:rsidR="00492AE9">
        <w:rPr>
          <w:rFonts w:ascii="Arial" w:eastAsia="Times New Roman" w:hAnsi="Arial" w:cs="Arial"/>
          <w:bCs/>
          <w:kern w:val="36"/>
          <w:sz w:val="28"/>
          <w:szCs w:val="28"/>
        </w:rPr>
        <w:t>alimentare definite de Legea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56/2021 privind suplimentele alimentare, cu modificările și completările ulterioare.</w:t>
      </w:r>
      <w:proofErr w:type="gramEnd"/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gramStart"/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serviciile de alimentare cu apă și de canalizare; livrarea apei pentru irigații în agricultură; livrarea de îngrășăminte 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lastRenderedPageBreak/>
        <w:t>și pesticide de tipul celor utilizate în mod normal în producția agricolă; livrarea de îngrășăminte chimice și de pesticide chimice de tipul celor utilizate în mod normal în producția agricolă; livrarea de manuale școlare, cărți, ziare și reviste, pe suport fizic și/sau pe cale electronică, cu excepția celor care au, în totalitate sau în mod predominant, un conținut video sau un conținut muzical audio și a celor destinate exclusiv sau în principal publicității; serviciile constând în permiterea accesului la castele, muzee, case memoriale, monumente istorice, monumente de arhitectură și arheologice</w:t>
      </w:r>
      <w:r w:rsidR="00492AE9">
        <w:rPr>
          <w:rFonts w:ascii="Arial" w:eastAsia="Times New Roman" w:hAnsi="Arial" w:cs="Arial"/>
          <w:bCs/>
          <w:kern w:val="36"/>
          <w:sz w:val="28"/>
          <w:szCs w:val="28"/>
        </w:rPr>
        <w:t>, grădini zoologice și botanice.</w:t>
      </w:r>
      <w:proofErr w:type="gramEnd"/>
    </w:p>
    <w:p w:rsidR="002D6472" w:rsidRDefault="008028A3" w:rsidP="009B62D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proofErr w:type="gramStart"/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>Cota de 11% TVA se aplică și lemnelor de foc</w:t>
      </w:r>
      <w:r w:rsidR="00492AE9">
        <w:rPr>
          <w:rFonts w:ascii="Arial" w:eastAsia="Times New Roman" w:hAnsi="Arial" w:cs="Arial"/>
          <w:bCs/>
          <w:kern w:val="36"/>
          <w:sz w:val="28"/>
          <w:szCs w:val="28"/>
        </w:rPr>
        <w:t xml:space="preserve"> -</w:t>
      </w:r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livrarea către persoanele fizice de lemn de foc, sub formă de trunchiuri, butuci, vreascuri, ramuri sau sub forme similare, care se încadrează la </w:t>
      </w:r>
      <w:r w:rsidR="00492AE9">
        <w:rPr>
          <w:rFonts w:ascii="Arial" w:eastAsia="Times New Roman" w:hAnsi="Arial" w:cs="Arial"/>
          <w:bCs/>
          <w:kern w:val="36"/>
          <w:sz w:val="28"/>
          <w:szCs w:val="28"/>
        </w:rPr>
        <w:t>anumite coduri CAEN</w:t>
      </w:r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>; livrarea pentru utilizarea drept combustibil de încălzire a rumegușului, deșeurilor și resturilor de lemn neaglomerate; livrarea către persoane juridice sau alte entități, indiferent de forma juridică de organizare a acestora, inclusiv școli, spitale, dispensare medicale și unități de asistență socială, de lemn de foc, sub formă de trunchiuri, butuci, vreascuri, ramuri sau sub forme similar; livrarea pentru utilizarea drept combustibil de încălzire a rumegușului, deșeurilor și resturilor de lemn neaglomerat; livrarea de energie termică în sezonul rece, destinată următoarelor categorii de consumatori: populație, spitale publice și private, organizații neguvernamentale reglementate potrivit legii, precum și unitățile de cult, furnizori de servicii sociale, publici și privați, acreditați, care prestează servicii sociale prevăzute în No</w:t>
      </w:r>
      <w:r w:rsidR="00492AE9">
        <w:rPr>
          <w:rFonts w:ascii="Arial" w:eastAsia="Times New Roman" w:hAnsi="Arial" w:cs="Arial"/>
          <w:bCs/>
          <w:kern w:val="36"/>
          <w:sz w:val="28"/>
          <w:szCs w:val="28"/>
        </w:rPr>
        <w:t>menclatorul serviciilor sociale;</w:t>
      </w:r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livrarea locuințelor ca parte a politicii sociale, inclusiv a terenului pe care sunt construite.</w:t>
      </w:r>
      <w:proofErr w:type="gramEnd"/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Terenul pe care </w:t>
      </w:r>
      <w:proofErr w:type="gramStart"/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>este</w:t>
      </w:r>
      <w:proofErr w:type="gramEnd"/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construită locuința include și amprenta la sol a locuinței. </w:t>
      </w:r>
      <w:proofErr w:type="gramStart"/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În sensul prezentului titlu, prin locuință </w:t>
      </w:r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lastRenderedPageBreak/>
        <w:t xml:space="preserve">livrată ca parte a politicii sociale se înțelege: livrarea de clădiri, inclusiv a terenului pe care sunt construite, destinate a fi utilizate drept cămine de bătrâni și de pensionari; livrarea de clădiri, inclusiv a terenului pe care sunt construite, destinate a fi utilizate drept case de copii și centre de recuperare și reabilitare pentru minori cu handicap; cazarea în cadrul sectorului hotelier sau al sectoarelor cu funcție similară, inclusiv închirierea terenurilor amenajate pentru camping; serviciile de restaurant și de catering, cu excepția băuturilor alcoolice, precum și a băuturilor nealcoolice care </w:t>
      </w:r>
      <w:r w:rsidR="002D6472">
        <w:rPr>
          <w:rFonts w:ascii="Arial" w:eastAsia="Times New Roman" w:hAnsi="Arial" w:cs="Arial"/>
          <w:bCs/>
          <w:kern w:val="36"/>
          <w:sz w:val="28"/>
          <w:szCs w:val="28"/>
        </w:rPr>
        <w:t>se încadrează la codul NC 2202.</w:t>
      </w:r>
      <w:proofErr w:type="gramEnd"/>
    </w:p>
    <w:p w:rsidR="002D6472" w:rsidRDefault="002D6472" w:rsidP="009B62D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Pensiile mai </w:t>
      </w:r>
      <w:proofErr w:type="gramStart"/>
      <w:r>
        <w:rPr>
          <w:rFonts w:ascii="Arial" w:eastAsia="Times New Roman" w:hAnsi="Arial" w:cs="Arial"/>
          <w:bCs/>
          <w:kern w:val="36"/>
          <w:sz w:val="28"/>
          <w:szCs w:val="28"/>
        </w:rPr>
        <w:t>mari</w:t>
      </w:r>
      <w:proofErr w:type="gramEnd"/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de 3.000 de lei, 10% CASS</w:t>
      </w:r>
    </w:p>
    <w:p w:rsidR="002D6472" w:rsidRDefault="008028A3" w:rsidP="009B62D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>Contribuția de Asigurări Sociale de Sănătate (CASS), de 10% se aplică asupra pensiilor care depăşesc 3.000 de lei</w:t>
      </w:r>
      <w:r w:rsidR="002D6472">
        <w:rPr>
          <w:rFonts w:ascii="Arial" w:eastAsia="Times New Roman" w:hAnsi="Arial" w:cs="Arial"/>
          <w:bCs/>
          <w:kern w:val="36"/>
          <w:sz w:val="28"/>
          <w:szCs w:val="28"/>
        </w:rPr>
        <w:t>.</w:t>
      </w:r>
    </w:p>
    <w:p w:rsidR="002D6472" w:rsidRDefault="008028A3" w:rsidP="009B62D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proofErr w:type="gramStart"/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Exemplu de calcul pentru contribuția de asigurări sociale de sănătate (CASS), aplicabil unui contribuabil care obține venituri din pensii în cuantum de 5.000 lei lunar: </w:t>
      </w:r>
      <w:r w:rsidR="002D6472">
        <w:rPr>
          <w:rFonts w:ascii="Arial" w:eastAsia="Times New Roman" w:hAnsi="Arial" w:cs="Arial"/>
          <w:bCs/>
          <w:kern w:val="36"/>
          <w:sz w:val="28"/>
          <w:szCs w:val="28"/>
        </w:rPr>
        <w:t xml:space="preserve">CASS în cotă de 10% </w:t>
      </w:r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se aplică la partea de venit care depășește plafonul </w:t>
      </w:r>
      <w:r w:rsidR="002D6472">
        <w:rPr>
          <w:rFonts w:ascii="Arial" w:eastAsia="Times New Roman" w:hAnsi="Arial" w:cs="Arial"/>
          <w:bCs/>
          <w:kern w:val="36"/>
          <w:sz w:val="28"/>
          <w:szCs w:val="28"/>
        </w:rPr>
        <w:t>neimpozabil de 3.000 lei/lună, adică 2.000 de lei, sumă asupra</w:t>
      </w:r>
      <w:r w:rsidR="002D6472"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r w:rsidR="002D6472">
        <w:rPr>
          <w:rFonts w:ascii="Arial" w:eastAsia="Times New Roman" w:hAnsi="Arial" w:cs="Arial"/>
          <w:bCs/>
          <w:kern w:val="36"/>
          <w:sz w:val="28"/>
          <w:szCs w:val="28"/>
        </w:rPr>
        <w:t>căreia s</w:t>
      </w:r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e aplică cota de 10% </w:t>
      </w:r>
      <w:r w:rsidR="002D6472">
        <w:rPr>
          <w:rFonts w:ascii="Arial" w:eastAsia="Times New Roman" w:hAnsi="Arial" w:cs="Arial"/>
          <w:bCs/>
          <w:kern w:val="36"/>
          <w:sz w:val="28"/>
          <w:szCs w:val="28"/>
        </w:rPr>
        <w:t xml:space="preserve">- adică </w:t>
      </w:r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>200 lei.</w:t>
      </w:r>
      <w:proofErr w:type="gramEnd"/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Prin urmare, pensionarul </w:t>
      </w:r>
      <w:r w:rsidR="002D6472">
        <w:rPr>
          <w:rFonts w:ascii="Arial" w:eastAsia="Times New Roman" w:hAnsi="Arial" w:cs="Arial"/>
          <w:bCs/>
          <w:kern w:val="36"/>
          <w:sz w:val="28"/>
          <w:szCs w:val="28"/>
        </w:rPr>
        <w:t>încasează după reținerea CASS</w:t>
      </w:r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r w:rsidR="002D6472">
        <w:rPr>
          <w:rFonts w:ascii="Arial" w:eastAsia="Times New Roman" w:hAnsi="Arial" w:cs="Arial"/>
          <w:bCs/>
          <w:kern w:val="36"/>
          <w:sz w:val="28"/>
          <w:szCs w:val="28"/>
        </w:rPr>
        <w:t xml:space="preserve">- </w:t>
      </w:r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>4.800 lei net/lunar. Contribuția se aplică asupra tuturor categoriilor de pensie care depăşesc 3.000 de lei, inclusiv pensii private sau alt sist</w:t>
      </w:r>
      <w:r w:rsidR="002D6472">
        <w:rPr>
          <w:rFonts w:ascii="Arial" w:eastAsia="Times New Roman" w:hAnsi="Arial" w:cs="Arial"/>
          <w:bCs/>
          <w:kern w:val="36"/>
          <w:sz w:val="28"/>
          <w:szCs w:val="28"/>
        </w:rPr>
        <w:t>em de pensii facultative.</w:t>
      </w:r>
    </w:p>
    <w:p w:rsidR="002D6472" w:rsidRDefault="002D6472" w:rsidP="009B62D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>Coasigurați neasigurați fără plată</w:t>
      </w:r>
    </w:p>
    <w:p w:rsidR="000424FC" w:rsidRDefault="008028A3" w:rsidP="009B62D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>Coasigurații nu mai beneficia</w:t>
      </w:r>
      <w:r w:rsidR="003B6E0F">
        <w:rPr>
          <w:rFonts w:ascii="Arial" w:eastAsia="Times New Roman" w:hAnsi="Arial" w:cs="Arial"/>
          <w:bCs/>
          <w:kern w:val="36"/>
          <w:sz w:val="28"/>
          <w:szCs w:val="28"/>
        </w:rPr>
        <w:t>ză de asigurare de sănătate, dacă nu plătesc</w:t>
      </w:r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r w:rsidR="003B6E0F">
        <w:rPr>
          <w:rFonts w:ascii="Arial" w:eastAsia="Times New Roman" w:hAnsi="Arial" w:cs="Arial"/>
          <w:bCs/>
          <w:kern w:val="36"/>
          <w:sz w:val="28"/>
          <w:szCs w:val="28"/>
        </w:rPr>
        <w:t>contribuție individuală. Și vorbim aici inclusive de</w:t>
      </w:r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soții/soțiile sau părinții fără venituri, asigurați </w:t>
      </w:r>
      <w:r w:rsidR="003B6E0F">
        <w:rPr>
          <w:rFonts w:ascii="Arial" w:eastAsia="Times New Roman" w:hAnsi="Arial" w:cs="Arial"/>
          <w:bCs/>
          <w:kern w:val="36"/>
          <w:sz w:val="28"/>
          <w:szCs w:val="28"/>
        </w:rPr>
        <w:t xml:space="preserve">până la 1 august </w:t>
      </w:r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>prin inte</w:t>
      </w:r>
      <w:r w:rsidR="003B6E0F">
        <w:rPr>
          <w:rFonts w:ascii="Arial" w:eastAsia="Times New Roman" w:hAnsi="Arial" w:cs="Arial"/>
          <w:bCs/>
          <w:kern w:val="36"/>
          <w:sz w:val="28"/>
          <w:szCs w:val="28"/>
        </w:rPr>
        <w:t>rmediul unui membru al familiei</w:t>
      </w:r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. </w:t>
      </w:r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lastRenderedPageBreak/>
        <w:t xml:space="preserve">Pentru a continua </w:t>
      </w:r>
      <w:proofErr w:type="gramStart"/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>să</w:t>
      </w:r>
      <w:proofErr w:type="gramEnd"/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beneficieze de servicii medicale </w:t>
      </w:r>
      <w:r w:rsidR="003B6E0F">
        <w:rPr>
          <w:rFonts w:ascii="Arial" w:eastAsia="Times New Roman" w:hAnsi="Arial" w:cs="Arial"/>
          <w:bCs/>
          <w:kern w:val="36"/>
          <w:sz w:val="28"/>
          <w:szCs w:val="28"/>
        </w:rPr>
        <w:t>(prin</w:t>
      </w:r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CNAS</w:t>
      </w:r>
      <w:r w:rsidR="003B6E0F">
        <w:rPr>
          <w:rFonts w:ascii="Arial" w:eastAsia="Times New Roman" w:hAnsi="Arial" w:cs="Arial"/>
          <w:bCs/>
          <w:kern w:val="36"/>
          <w:sz w:val="28"/>
          <w:szCs w:val="28"/>
        </w:rPr>
        <w:t>)</w:t>
      </w:r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, aceștia </w:t>
      </w:r>
      <w:r w:rsidR="003B6E0F">
        <w:rPr>
          <w:rFonts w:ascii="Arial" w:eastAsia="Times New Roman" w:hAnsi="Arial" w:cs="Arial"/>
          <w:bCs/>
          <w:kern w:val="36"/>
          <w:sz w:val="28"/>
          <w:szCs w:val="28"/>
        </w:rPr>
        <w:t>trebuie să s</w:t>
      </w:r>
      <w:r w:rsidRPr="008028A3">
        <w:rPr>
          <w:rFonts w:ascii="Arial" w:eastAsia="Times New Roman" w:hAnsi="Arial" w:cs="Arial"/>
          <w:bCs/>
          <w:kern w:val="36"/>
          <w:sz w:val="28"/>
          <w:szCs w:val="28"/>
        </w:rPr>
        <w:t>e asigure individual, prin depunerea Declarației unice privind impozitul pe venit și contribuțiile sociale datorate de persoanele</w:t>
      </w:r>
      <w:r w:rsidR="000424FC">
        <w:rPr>
          <w:rFonts w:ascii="Arial" w:eastAsia="Times New Roman" w:hAnsi="Arial" w:cs="Arial"/>
          <w:bCs/>
          <w:kern w:val="36"/>
          <w:sz w:val="28"/>
          <w:szCs w:val="28"/>
        </w:rPr>
        <w:t xml:space="preserve"> fizice (D212).</w:t>
      </w:r>
    </w:p>
    <w:p w:rsidR="000424FC" w:rsidRDefault="000424FC" w:rsidP="000424FC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>Se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reţine</w:t>
      </w:r>
      <w:r w:rsidR="003B6E0F">
        <w:rPr>
          <w:rFonts w:ascii="Arial" w:eastAsia="Times New Roman" w:hAnsi="Arial" w:cs="Arial"/>
          <w:bCs/>
          <w:kern w:val="36"/>
          <w:sz w:val="28"/>
          <w:szCs w:val="28"/>
        </w:rPr>
        <w:t>, astfel,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CASS</w:t>
      </w:r>
      <w:r w:rsidR="003B6E0F">
        <w:rPr>
          <w:rFonts w:ascii="Arial" w:eastAsia="Times New Roman" w:hAnsi="Arial" w:cs="Arial"/>
          <w:bCs/>
          <w:kern w:val="36"/>
          <w:sz w:val="28"/>
          <w:szCs w:val="28"/>
        </w:rPr>
        <w:t xml:space="preserve"> -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din indemnizaţia primită, lu</w:t>
      </w:r>
      <w:r w:rsidR="003B6E0F">
        <w:rPr>
          <w:rFonts w:ascii="Arial" w:eastAsia="Times New Roman" w:hAnsi="Arial" w:cs="Arial"/>
          <w:bCs/>
          <w:kern w:val="36"/>
          <w:sz w:val="28"/>
          <w:szCs w:val="28"/>
        </w:rPr>
        <w:t>nar, de către instituţia care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 xml:space="preserve"> plăteşte acest venit (instituţiile subordonate Ministerului Muncii), începând cu venitul, din indemnizaţia aferentă lu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nii august pentru categoriile: - p</w:t>
      </w:r>
      <w:r w:rsidR="008028A3" w:rsidRPr="008028A3">
        <w:rPr>
          <w:rFonts w:ascii="Arial" w:eastAsia="Times New Roman" w:hAnsi="Arial" w:cs="Arial"/>
          <w:bCs/>
          <w:kern w:val="36"/>
          <w:sz w:val="28"/>
          <w:szCs w:val="28"/>
        </w:rPr>
        <w:t>ărinţi aflaţi în concediu de creşterea copilului pentru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indemnizaţia lunară acordată;</w:t>
      </w:r>
    </w:p>
    <w:p w:rsidR="000424FC" w:rsidRDefault="000424FC" w:rsidP="000424FC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 w:rsidRPr="000424FC">
        <w:rPr>
          <w:rFonts w:ascii="Arial" w:eastAsia="Times New Roman" w:hAnsi="Arial" w:cs="Arial"/>
          <w:bCs/>
          <w:kern w:val="36"/>
          <w:sz w:val="28"/>
          <w:szCs w:val="28"/>
        </w:rPr>
        <w:t>persoane fizice aflate î</w:t>
      </w:r>
      <w:r w:rsidR="008028A3" w:rsidRPr="000424FC">
        <w:rPr>
          <w:rFonts w:ascii="Arial" w:eastAsia="Times New Roman" w:hAnsi="Arial" w:cs="Arial"/>
          <w:bCs/>
          <w:kern w:val="36"/>
          <w:sz w:val="28"/>
          <w:szCs w:val="28"/>
        </w:rPr>
        <w:t>n concediu de ac</w:t>
      </w:r>
      <w:r w:rsidRPr="000424FC">
        <w:rPr>
          <w:rFonts w:ascii="Arial" w:eastAsia="Times New Roman" w:hAnsi="Arial" w:cs="Arial"/>
          <w:bCs/>
          <w:kern w:val="36"/>
          <w:sz w:val="28"/>
          <w:szCs w:val="28"/>
        </w:rPr>
        <w:t>omoda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re, privind procedura adopției;</w:t>
      </w:r>
    </w:p>
    <w:p w:rsidR="000424FC" w:rsidRDefault="000424FC" w:rsidP="000424FC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 w:rsidRPr="000424FC">
        <w:rPr>
          <w:rFonts w:ascii="Arial" w:eastAsia="Times New Roman" w:hAnsi="Arial" w:cs="Arial"/>
          <w:bCs/>
          <w:kern w:val="36"/>
          <w:sz w:val="28"/>
          <w:szCs w:val="28"/>
        </w:rPr>
        <w:t>p</w:t>
      </w:r>
      <w:r w:rsidR="008028A3" w:rsidRPr="000424FC">
        <w:rPr>
          <w:rFonts w:ascii="Arial" w:eastAsia="Times New Roman" w:hAnsi="Arial" w:cs="Arial"/>
          <w:bCs/>
          <w:kern w:val="36"/>
          <w:sz w:val="28"/>
          <w:szCs w:val="28"/>
        </w:rPr>
        <w:t>ersoane care benefciază de indemnizație de şomaj sau, după caz, de alte drepturi de protecție socială care se acordă din bugetul asigurărilor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pentru şomaj, potrivit legii;</w:t>
      </w:r>
    </w:p>
    <w:p w:rsidR="000424FC" w:rsidRDefault="000424FC" w:rsidP="000424FC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>p</w:t>
      </w:r>
      <w:r w:rsidR="008028A3" w:rsidRPr="000424FC">
        <w:rPr>
          <w:rFonts w:ascii="Arial" w:eastAsia="Times New Roman" w:hAnsi="Arial" w:cs="Arial"/>
          <w:bCs/>
          <w:kern w:val="36"/>
          <w:sz w:val="28"/>
          <w:szCs w:val="28"/>
        </w:rPr>
        <w:t>ersoane fizice care beneficiază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 de venit minim de incluziune; </w:t>
      </w:r>
    </w:p>
    <w:p w:rsidR="000424FC" w:rsidRDefault="000424FC" w:rsidP="000424FC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proofErr w:type="gramStart"/>
      <w:r>
        <w:rPr>
          <w:rFonts w:ascii="Arial" w:eastAsia="Times New Roman" w:hAnsi="Arial" w:cs="Arial"/>
          <w:bCs/>
          <w:kern w:val="36"/>
          <w:sz w:val="28"/>
          <w:szCs w:val="28"/>
        </w:rPr>
        <w:t>cei</w:t>
      </w:r>
      <w:proofErr w:type="gramEnd"/>
      <w:r w:rsidR="008028A3" w:rsidRPr="000424FC">
        <w:rPr>
          <w:rFonts w:ascii="Arial" w:eastAsia="Times New Roman" w:hAnsi="Arial" w:cs="Arial"/>
          <w:bCs/>
          <w:kern w:val="36"/>
          <w:sz w:val="28"/>
          <w:szCs w:val="28"/>
        </w:rPr>
        <w:t xml:space="preserve"> care primesc ajutor de incluziune şi ajutor pentru familia cu copii, acordate în baza Legii 196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/ 2016.</w:t>
      </w:r>
    </w:p>
    <w:p w:rsidR="000424FC" w:rsidRDefault="000424FC" w:rsidP="000424FC">
      <w:pPr>
        <w:spacing w:before="100" w:beforeAutospacing="1" w:after="100" w:afterAutospacing="1" w:line="360" w:lineRule="auto"/>
        <w:ind w:left="360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>Plătesc CASS inclusiv</w:t>
      </w:r>
      <w:r w:rsidR="008028A3" w:rsidRPr="000424FC">
        <w:rPr>
          <w:rFonts w:ascii="Arial" w:eastAsia="Times New Roman" w:hAnsi="Arial" w:cs="Arial"/>
          <w:bCs/>
          <w:kern w:val="36"/>
          <w:sz w:val="28"/>
          <w:szCs w:val="28"/>
        </w:rPr>
        <w:t xml:space="preserve"> deținuții politici precum: personele persecutate în timpul regimului comunist, persoanele deportate, prizonierii de război, veteranii de război, invalizi, văduve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le de război etc.</w:t>
      </w:r>
      <w:r w:rsidR="008028A3" w:rsidRPr="000424FC">
        <w:rPr>
          <w:rFonts w:ascii="Arial" w:eastAsia="Times New Roman" w:hAnsi="Arial" w:cs="Arial"/>
          <w:bCs/>
          <w:kern w:val="36"/>
          <w:sz w:val="28"/>
          <w:szCs w:val="28"/>
        </w:rPr>
        <w:t xml:space="preserve"> De asemenea, p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e</w:t>
      </w:r>
      <w:r w:rsidR="008028A3" w:rsidRPr="000424FC">
        <w:rPr>
          <w:rFonts w:ascii="Arial" w:eastAsia="Times New Roman" w:hAnsi="Arial" w:cs="Arial"/>
          <w:bCs/>
          <w:kern w:val="36"/>
          <w:sz w:val="28"/>
          <w:szCs w:val="28"/>
        </w:rPr>
        <w:t>rsonalul monahal al cultelor recunoscute, aflat în evidenţa Secretariat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ului de Stat pentru Culte, nu mai </w:t>
      </w:r>
      <w:proofErr w:type="gramStart"/>
      <w:r>
        <w:rPr>
          <w:rFonts w:ascii="Arial" w:eastAsia="Times New Roman" w:hAnsi="Arial" w:cs="Arial"/>
          <w:bCs/>
          <w:kern w:val="36"/>
          <w:sz w:val="28"/>
          <w:szCs w:val="28"/>
        </w:rPr>
        <w:t>este</w:t>
      </w:r>
      <w:proofErr w:type="gramEnd"/>
      <w:r w:rsidR="008028A3" w:rsidRPr="000424FC">
        <w:rPr>
          <w:rFonts w:ascii="Arial" w:eastAsia="Times New Roman" w:hAnsi="Arial" w:cs="Arial"/>
          <w:bCs/>
          <w:kern w:val="36"/>
          <w:sz w:val="28"/>
          <w:szCs w:val="28"/>
        </w:rPr>
        <w:t xml:space="preserve"> asigurat la sistemul asigurărilor socia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le de sănătate fără plata CASS.</w:t>
      </w:r>
    </w:p>
    <w:p w:rsidR="000424FC" w:rsidRDefault="000424FC" w:rsidP="000424FC">
      <w:pPr>
        <w:spacing w:before="100" w:beforeAutospacing="1" w:after="100" w:afterAutospacing="1" w:line="360" w:lineRule="auto"/>
        <w:ind w:left="360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</w:p>
    <w:p w:rsidR="000424FC" w:rsidRDefault="000424FC" w:rsidP="000424FC">
      <w:pPr>
        <w:spacing w:before="100" w:beforeAutospacing="1" w:after="100" w:afterAutospacing="1" w:line="360" w:lineRule="auto"/>
        <w:ind w:left="360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lastRenderedPageBreak/>
        <w:t>Concedii medicale cu indemnizații diferențiate</w:t>
      </w:r>
    </w:p>
    <w:p w:rsidR="000424FC" w:rsidRDefault="000424FC" w:rsidP="000424FC">
      <w:pPr>
        <w:spacing w:before="100" w:beforeAutospacing="1" w:after="100" w:afterAutospacing="1" w:line="360" w:lineRule="auto"/>
        <w:ind w:left="360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>De la 1 august 2025, s</w:t>
      </w:r>
      <w:r w:rsidR="008028A3" w:rsidRPr="000424FC">
        <w:rPr>
          <w:rFonts w:ascii="Arial" w:eastAsia="Times New Roman" w:hAnsi="Arial" w:cs="Arial"/>
          <w:bCs/>
          <w:kern w:val="36"/>
          <w:sz w:val="28"/>
          <w:szCs w:val="28"/>
        </w:rPr>
        <w:t>cade indemn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izația pentru concediul medical. Astfel, </w:t>
      </w:r>
      <w:r w:rsidR="008028A3" w:rsidRPr="000424FC">
        <w:rPr>
          <w:rFonts w:ascii="Arial" w:eastAsia="Times New Roman" w:hAnsi="Arial" w:cs="Arial"/>
          <w:bCs/>
          <w:kern w:val="36"/>
          <w:sz w:val="28"/>
          <w:szCs w:val="28"/>
        </w:rPr>
        <w:t xml:space="preserve">se vor face plăți diferențiate, în funcție de numărul de zile 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 xml:space="preserve">de concediu medical </w:t>
      </w:r>
      <w:r w:rsidR="008028A3" w:rsidRPr="000424FC">
        <w:rPr>
          <w:rFonts w:ascii="Arial" w:eastAsia="Times New Roman" w:hAnsi="Arial" w:cs="Arial"/>
          <w:bCs/>
          <w:kern w:val="36"/>
          <w:sz w:val="28"/>
          <w:szCs w:val="28"/>
        </w:rPr>
        <w:t xml:space="preserve">acordate. </w:t>
      </w:r>
      <w:proofErr w:type="gramStart"/>
      <w:r w:rsidR="008028A3" w:rsidRPr="000424FC">
        <w:rPr>
          <w:rFonts w:ascii="Arial" w:eastAsia="Times New Roman" w:hAnsi="Arial" w:cs="Arial"/>
          <w:bCs/>
          <w:kern w:val="36"/>
          <w:sz w:val="28"/>
          <w:szCs w:val="28"/>
        </w:rPr>
        <w:t>Astfel, cuantumul brut lunar al indemnizaţiei pentru incapacitate temporară de muncă cauzată de boli obişnuite se determină raportat la fiecare episod de boală, după cum urmează: a) prin aplicarea procentului de 55% asupra bazei de calcul stabilite pentru pentru certificatele de concediu medical eliberate pentru o perioadă de până la 7 zile de incapacitate temporară de muncă; b) prin aplicarea procentului de 65% asupra bazei de calcul stabilite pentru certificatele de concediu medical eliberate pentru o perioadă cuprinsă între 8 și 14 zile de incapacitate temporară de muncă; c) prin aplicarea procentului de 75% asupra bazei de calcul stabilite pentru certificatele de concediu medical eliberate pentru o perioadă de peste 15 zile de incapacitate temporară de muncă.</w:t>
      </w:r>
      <w:proofErr w:type="gramEnd"/>
      <w:r w:rsidR="008028A3" w:rsidRPr="000424FC">
        <w:rPr>
          <w:rFonts w:ascii="Arial" w:eastAsia="Times New Roman" w:hAnsi="Arial" w:cs="Arial"/>
          <w:bCs/>
          <w:kern w:val="36"/>
          <w:sz w:val="28"/>
          <w:szCs w:val="28"/>
        </w:rPr>
        <w:t xml:space="preserve"> Cuantumul brut lunar al indemnizaţiei pentru incapacitate temporară de muncă pentru bolile cardiovasculare stabilite se determină prin aplicarea procentului de 75% as</w:t>
      </w:r>
      <w:r>
        <w:rPr>
          <w:rFonts w:ascii="Arial" w:eastAsia="Times New Roman" w:hAnsi="Arial" w:cs="Arial"/>
          <w:bCs/>
          <w:kern w:val="36"/>
          <w:sz w:val="28"/>
          <w:szCs w:val="28"/>
        </w:rPr>
        <w:t>upra bazei de calcul stabilite.</w:t>
      </w:r>
    </w:p>
    <w:p w:rsidR="000424FC" w:rsidRDefault="000424FC" w:rsidP="000424FC">
      <w:pPr>
        <w:spacing w:before="100" w:beforeAutospacing="1" w:after="100" w:afterAutospacing="1" w:line="360" w:lineRule="auto"/>
        <w:ind w:left="360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</w:p>
    <w:p w:rsidR="000424FC" w:rsidRDefault="000424FC" w:rsidP="000424FC">
      <w:pPr>
        <w:spacing w:before="100" w:beforeAutospacing="1" w:after="100" w:afterAutospacing="1" w:line="360" w:lineRule="auto"/>
        <w:ind w:left="360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>Roviniete mai scumpe, de la 1 septembrie</w:t>
      </w:r>
    </w:p>
    <w:p w:rsidR="000424FC" w:rsidRDefault="008028A3" w:rsidP="000424FC">
      <w:pPr>
        <w:spacing w:before="100" w:beforeAutospacing="1" w:after="100" w:afterAutospacing="1" w:line="360" w:lineRule="auto"/>
        <w:ind w:left="360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 w:rsidRPr="000424FC">
        <w:rPr>
          <w:rFonts w:ascii="Arial" w:eastAsia="Times New Roman" w:hAnsi="Arial" w:cs="Arial"/>
          <w:bCs/>
          <w:kern w:val="36"/>
          <w:sz w:val="28"/>
          <w:szCs w:val="28"/>
        </w:rPr>
        <w:t xml:space="preserve">Începând cu </w:t>
      </w:r>
      <w:proofErr w:type="gramStart"/>
      <w:r w:rsidRPr="000424FC">
        <w:rPr>
          <w:rFonts w:ascii="Arial" w:eastAsia="Times New Roman" w:hAnsi="Arial" w:cs="Arial"/>
          <w:bCs/>
          <w:kern w:val="36"/>
          <w:sz w:val="28"/>
          <w:szCs w:val="28"/>
        </w:rPr>
        <w:t>1</w:t>
      </w:r>
      <w:proofErr w:type="gramEnd"/>
      <w:r w:rsidRPr="000424FC">
        <w:rPr>
          <w:rFonts w:ascii="Arial" w:eastAsia="Times New Roman" w:hAnsi="Arial" w:cs="Arial"/>
          <w:bCs/>
          <w:kern w:val="36"/>
          <w:sz w:val="28"/>
          <w:szCs w:val="28"/>
        </w:rPr>
        <w:t xml:space="preserve"> septembrie </w:t>
      </w:r>
      <w:r w:rsidR="000424FC">
        <w:rPr>
          <w:rFonts w:ascii="Arial" w:eastAsia="Times New Roman" w:hAnsi="Arial" w:cs="Arial"/>
          <w:bCs/>
          <w:kern w:val="36"/>
          <w:sz w:val="28"/>
          <w:szCs w:val="28"/>
        </w:rPr>
        <w:t>2025, intră în vigoare Legea</w:t>
      </w:r>
      <w:r w:rsidRPr="000424FC">
        <w:rPr>
          <w:rFonts w:ascii="Arial" w:eastAsia="Times New Roman" w:hAnsi="Arial" w:cs="Arial"/>
          <w:bCs/>
          <w:kern w:val="36"/>
          <w:sz w:val="28"/>
          <w:szCs w:val="28"/>
        </w:rPr>
        <w:t xml:space="preserve"> 141/2025, care aduce următoarele modificări privind rovinieta pentru autoturisme. Tariful anual al rovinietei pent</w:t>
      </w:r>
      <w:r w:rsidR="000424FC">
        <w:rPr>
          <w:rFonts w:ascii="Arial" w:eastAsia="Times New Roman" w:hAnsi="Arial" w:cs="Arial"/>
          <w:bCs/>
          <w:kern w:val="36"/>
          <w:sz w:val="28"/>
          <w:szCs w:val="28"/>
        </w:rPr>
        <w:t>ru autoturisme crește de la 28 la 50 euro</w:t>
      </w:r>
      <w:r w:rsidRPr="000424FC">
        <w:rPr>
          <w:rFonts w:ascii="Arial" w:eastAsia="Times New Roman" w:hAnsi="Arial" w:cs="Arial"/>
          <w:bCs/>
          <w:kern w:val="36"/>
          <w:sz w:val="28"/>
          <w:szCs w:val="28"/>
        </w:rPr>
        <w:t xml:space="preserve"> (TVA inclus). Amenda pentru lipsa rovinietei se majorează, de la 250 - 500 lei la 500 - 1.000 lei. Tarifele achitate înainte de această dată rămân valabile </w:t>
      </w:r>
      <w:r w:rsidRPr="000424FC">
        <w:rPr>
          <w:rFonts w:ascii="Arial" w:eastAsia="Times New Roman" w:hAnsi="Arial" w:cs="Arial"/>
          <w:bCs/>
          <w:kern w:val="36"/>
          <w:sz w:val="28"/>
          <w:szCs w:val="28"/>
        </w:rPr>
        <w:lastRenderedPageBreak/>
        <w:t xml:space="preserve">pentru întreaga perioadă de valabilitate </w:t>
      </w:r>
      <w:r w:rsidR="000424FC">
        <w:rPr>
          <w:rFonts w:ascii="Arial" w:eastAsia="Times New Roman" w:hAnsi="Arial" w:cs="Arial"/>
          <w:bCs/>
          <w:kern w:val="36"/>
          <w:sz w:val="28"/>
          <w:szCs w:val="28"/>
        </w:rPr>
        <w:t>pentru care au fost emise</w:t>
      </w:r>
      <w:r w:rsidRPr="000424FC">
        <w:rPr>
          <w:rFonts w:ascii="Arial" w:eastAsia="Times New Roman" w:hAnsi="Arial" w:cs="Arial"/>
          <w:bCs/>
          <w:kern w:val="36"/>
          <w:sz w:val="28"/>
          <w:szCs w:val="28"/>
        </w:rPr>
        <w:t>”,</w:t>
      </w:r>
      <w:r w:rsidR="000424FC">
        <w:rPr>
          <w:rFonts w:ascii="Arial" w:eastAsia="Times New Roman" w:hAnsi="Arial" w:cs="Arial"/>
          <w:bCs/>
          <w:kern w:val="36"/>
          <w:sz w:val="28"/>
          <w:szCs w:val="28"/>
        </w:rPr>
        <w:t xml:space="preserve"> </w:t>
      </w:r>
      <w:proofErr w:type="gramStart"/>
      <w:r w:rsidR="000424FC">
        <w:rPr>
          <w:rFonts w:ascii="Arial" w:eastAsia="Times New Roman" w:hAnsi="Arial" w:cs="Arial"/>
          <w:bCs/>
          <w:kern w:val="36"/>
          <w:sz w:val="28"/>
          <w:szCs w:val="28"/>
        </w:rPr>
        <w:t>a</w:t>
      </w:r>
      <w:proofErr w:type="gramEnd"/>
      <w:r w:rsidR="000424FC">
        <w:rPr>
          <w:rFonts w:ascii="Arial" w:eastAsia="Times New Roman" w:hAnsi="Arial" w:cs="Arial"/>
          <w:bCs/>
          <w:kern w:val="36"/>
          <w:sz w:val="28"/>
          <w:szCs w:val="28"/>
        </w:rPr>
        <w:t xml:space="preserve"> anunțat Compania Națională</w:t>
      </w:r>
      <w:r w:rsidRPr="000424FC">
        <w:rPr>
          <w:rFonts w:ascii="Arial" w:eastAsia="Times New Roman" w:hAnsi="Arial" w:cs="Arial"/>
          <w:bCs/>
          <w:kern w:val="36"/>
          <w:sz w:val="28"/>
          <w:szCs w:val="28"/>
        </w:rPr>
        <w:t xml:space="preserve"> de Administrare a Infrastructurii Rutiere</w:t>
      </w:r>
      <w:r w:rsidR="000424FC">
        <w:rPr>
          <w:rFonts w:ascii="Arial" w:eastAsia="Times New Roman" w:hAnsi="Arial" w:cs="Arial"/>
          <w:bCs/>
          <w:kern w:val="36"/>
          <w:sz w:val="28"/>
          <w:szCs w:val="28"/>
        </w:rPr>
        <w:t>.</w:t>
      </w:r>
    </w:p>
    <w:p w:rsidR="000424FC" w:rsidRDefault="000424FC" w:rsidP="000424FC">
      <w:pPr>
        <w:spacing w:before="100" w:beforeAutospacing="1" w:after="100" w:afterAutospacing="1" w:line="360" w:lineRule="auto"/>
        <w:ind w:left="360"/>
        <w:jc w:val="both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8"/>
          <w:szCs w:val="28"/>
        </w:rPr>
        <w:t>Burse de merit doar pentru câțiva elevi</w:t>
      </w:r>
    </w:p>
    <w:p w:rsidR="00CC0A16" w:rsidRDefault="000424FC" w:rsidP="00CC0A16">
      <w:pPr>
        <w:spacing w:before="100" w:beforeAutospacing="1" w:after="100" w:afterAutospacing="1" w:line="360" w:lineRule="auto"/>
        <w:ind w:left="360"/>
        <w:jc w:val="both"/>
        <w:outlineLvl w:val="0"/>
        <w:rPr>
          <w:rFonts w:ascii="Arial" w:eastAsia="Times New Roman" w:hAnsi="Arial" w:cs="Arial"/>
          <w:sz w:val="28"/>
          <w:szCs w:val="28"/>
        </w:rPr>
      </w:pPr>
      <w:r w:rsidRPr="000424FC">
        <w:rPr>
          <w:rFonts w:ascii="Arial" w:eastAsia="Times New Roman" w:hAnsi="Arial" w:cs="Arial"/>
          <w:sz w:val="28"/>
          <w:szCs w:val="28"/>
        </w:rPr>
        <w:t>Bursele pen</w:t>
      </w:r>
      <w:r w:rsidR="00CC0A16">
        <w:rPr>
          <w:rFonts w:ascii="Arial" w:eastAsia="Times New Roman" w:hAnsi="Arial" w:cs="Arial"/>
          <w:sz w:val="28"/>
          <w:szCs w:val="28"/>
        </w:rPr>
        <w:t xml:space="preserve">tru elevi au fost reconfigurate, astfel că de la 1 septembrie </w:t>
      </w:r>
      <w:r w:rsidRPr="000424FC">
        <w:rPr>
          <w:rFonts w:ascii="Arial" w:eastAsia="Times New Roman" w:hAnsi="Arial" w:cs="Arial"/>
          <w:sz w:val="28"/>
          <w:szCs w:val="28"/>
        </w:rPr>
        <w:t>rămân doar 3 tipuri de burse din 5, plus bursele pentru mame minore.</w:t>
      </w:r>
      <w:r w:rsidR="00CC0A16">
        <w:rPr>
          <w:rFonts w:ascii="Arial" w:eastAsia="Times New Roman" w:hAnsi="Arial" w:cs="Arial"/>
          <w:sz w:val="28"/>
          <w:szCs w:val="28"/>
        </w:rPr>
        <w:t xml:space="preserve"> </w:t>
      </w:r>
      <w:r w:rsidRPr="000424FC">
        <w:rPr>
          <w:rFonts w:ascii="Arial" w:eastAsia="Times New Roman" w:hAnsi="Arial" w:cs="Arial"/>
          <w:sz w:val="28"/>
          <w:szCs w:val="28"/>
        </w:rPr>
        <w:t xml:space="preserve">Bursele de merit vor fi reduse ca număr, </w:t>
      </w:r>
      <w:r w:rsidR="00CC0A16">
        <w:rPr>
          <w:rFonts w:ascii="Arial" w:eastAsia="Times New Roman" w:hAnsi="Arial" w:cs="Arial"/>
          <w:sz w:val="28"/>
          <w:szCs w:val="28"/>
        </w:rPr>
        <w:t xml:space="preserve">pentru că, </w:t>
      </w:r>
      <w:r w:rsidRPr="000424FC">
        <w:rPr>
          <w:rFonts w:ascii="Arial" w:eastAsia="Times New Roman" w:hAnsi="Arial" w:cs="Arial"/>
          <w:sz w:val="28"/>
          <w:szCs w:val="28"/>
        </w:rPr>
        <w:t>doar pentru 15% din elevii fiecărei clase</w:t>
      </w:r>
      <w:r w:rsidR="00CC0A16">
        <w:rPr>
          <w:rFonts w:ascii="Arial" w:eastAsia="Times New Roman" w:hAnsi="Arial" w:cs="Arial"/>
          <w:sz w:val="28"/>
          <w:szCs w:val="28"/>
        </w:rPr>
        <w:t xml:space="preserve"> se vor acorda acestea</w:t>
      </w:r>
      <w:r w:rsidRPr="000424FC">
        <w:rPr>
          <w:rFonts w:ascii="Arial" w:eastAsia="Times New Roman" w:hAnsi="Arial" w:cs="Arial"/>
          <w:sz w:val="28"/>
          <w:szCs w:val="28"/>
        </w:rPr>
        <w:t>, condiția</w:t>
      </w:r>
      <w:r w:rsidR="00CC0A16">
        <w:rPr>
          <w:rFonts w:ascii="Arial" w:eastAsia="Times New Roman" w:hAnsi="Arial" w:cs="Arial"/>
          <w:sz w:val="28"/>
          <w:szCs w:val="28"/>
        </w:rPr>
        <w:t xml:space="preserve"> fiind </w:t>
      </w:r>
      <w:proofErr w:type="gramStart"/>
      <w:r w:rsidR="00CC0A16">
        <w:rPr>
          <w:rFonts w:ascii="Arial" w:eastAsia="Times New Roman" w:hAnsi="Arial" w:cs="Arial"/>
          <w:sz w:val="28"/>
          <w:szCs w:val="28"/>
        </w:rPr>
        <w:t>să</w:t>
      </w:r>
      <w:proofErr w:type="gramEnd"/>
      <w:r w:rsidR="00CC0A16">
        <w:rPr>
          <w:rFonts w:ascii="Arial" w:eastAsia="Times New Roman" w:hAnsi="Arial" w:cs="Arial"/>
          <w:sz w:val="28"/>
          <w:szCs w:val="28"/>
        </w:rPr>
        <w:t xml:space="preserve"> </w:t>
      </w:r>
      <w:r w:rsidRPr="000424FC">
        <w:rPr>
          <w:rFonts w:ascii="Arial" w:eastAsia="Times New Roman" w:hAnsi="Arial" w:cs="Arial"/>
          <w:sz w:val="28"/>
          <w:szCs w:val="28"/>
        </w:rPr>
        <w:t>aibă media între 9 și 10</w:t>
      </w:r>
      <w:r w:rsidR="00CC0A16">
        <w:rPr>
          <w:rFonts w:ascii="Arial" w:eastAsia="Times New Roman" w:hAnsi="Arial" w:cs="Arial"/>
          <w:sz w:val="28"/>
          <w:szCs w:val="28"/>
        </w:rPr>
        <w:t xml:space="preserve">. Într-o clasă cu </w:t>
      </w:r>
      <w:proofErr w:type="gramStart"/>
      <w:r w:rsidR="00CC0A16">
        <w:rPr>
          <w:rFonts w:ascii="Arial" w:eastAsia="Times New Roman" w:hAnsi="Arial" w:cs="Arial"/>
          <w:sz w:val="28"/>
          <w:szCs w:val="28"/>
        </w:rPr>
        <w:t>26 de</w:t>
      </w:r>
      <w:proofErr w:type="gramEnd"/>
      <w:r w:rsidR="00CC0A16">
        <w:rPr>
          <w:rFonts w:ascii="Arial" w:eastAsia="Times New Roman" w:hAnsi="Arial" w:cs="Arial"/>
          <w:sz w:val="28"/>
          <w:szCs w:val="28"/>
        </w:rPr>
        <w:t xml:space="preserve"> elevi, unde toți au media peste 9, de exemplu, vor luau bursă de merit doar 4 elevi.</w:t>
      </w:r>
    </w:p>
    <w:p w:rsidR="00CC0A16" w:rsidRDefault="00CC0A16" w:rsidP="00CC0A16">
      <w:pPr>
        <w:spacing w:before="100" w:beforeAutospacing="1" w:after="100" w:afterAutospacing="1" w:line="360" w:lineRule="auto"/>
        <w:ind w:left="360"/>
        <w:jc w:val="both"/>
        <w:outlineLvl w:val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Bursele pentru olimpici și cele de reziliență dispar, dar valoarea celor rămase </w:t>
      </w:r>
      <w:proofErr w:type="gramStart"/>
      <w:r>
        <w:rPr>
          <w:rFonts w:ascii="Arial" w:eastAsia="Times New Roman" w:hAnsi="Arial" w:cs="Arial"/>
          <w:sz w:val="28"/>
          <w:szCs w:val="28"/>
        </w:rPr>
        <w:t>este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aceeași ca și în anul școlar 2024-2025 – 450 de lei/merit și 300 lei/bursa socială. </w:t>
      </w:r>
      <w:r w:rsidRPr="00CC0A16">
        <w:rPr>
          <w:rFonts w:ascii="Arial" w:eastAsia="Times New Roman" w:hAnsi="Arial" w:cs="Arial"/>
          <w:sz w:val="28"/>
          <w:szCs w:val="28"/>
        </w:rPr>
        <w:t xml:space="preserve">Mamele minore reintegrate într-o unitate de învățământ beneficiază de o bursă lunară în cuantum de 700 de lei, pe perioada desfășurării activităților didactice, </w:t>
      </w:r>
      <w:proofErr w:type="gramStart"/>
      <w:r w:rsidRPr="00CC0A16">
        <w:rPr>
          <w:rFonts w:ascii="Arial" w:eastAsia="Times New Roman" w:hAnsi="Arial" w:cs="Arial"/>
          <w:sz w:val="28"/>
          <w:szCs w:val="28"/>
        </w:rPr>
        <w:t>cu</w:t>
      </w:r>
      <w:proofErr w:type="gramEnd"/>
      <w:r w:rsidRPr="00CC0A16">
        <w:rPr>
          <w:rFonts w:ascii="Arial" w:eastAsia="Times New Roman" w:hAnsi="Arial" w:cs="Arial"/>
          <w:sz w:val="28"/>
          <w:szCs w:val="28"/>
        </w:rPr>
        <w:t xml:space="preserve"> condiț</w:t>
      </w:r>
      <w:r>
        <w:rPr>
          <w:rFonts w:ascii="Arial" w:eastAsia="Times New Roman" w:hAnsi="Arial" w:cs="Arial"/>
          <w:sz w:val="28"/>
          <w:szCs w:val="28"/>
        </w:rPr>
        <w:t>ia frecventării orelor de curs.</w:t>
      </w:r>
    </w:p>
    <w:p w:rsidR="00CC0A16" w:rsidRDefault="00CC0A16" w:rsidP="008028A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Casetă</w:t>
      </w:r>
    </w:p>
    <w:p w:rsidR="007160EC" w:rsidRDefault="00CC0A16" w:rsidP="008028A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Biletele de tren și de metrou - majorate</w:t>
      </w:r>
    </w:p>
    <w:p w:rsidR="00CC0A16" w:rsidRDefault="00CC0A16" w:rsidP="008028A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CC0A16" w:rsidRPr="008028A3" w:rsidRDefault="00CC0A16" w:rsidP="008028A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0A16">
        <w:rPr>
          <w:rFonts w:ascii="Arial" w:hAnsi="Arial" w:cs="Arial"/>
          <w:sz w:val="28"/>
          <w:szCs w:val="28"/>
        </w:rPr>
        <w:t>Ministerul Transporturilor propune majorarea tarifelor de călătorie cu metroul, ca urmare a majorării TVA de la 19% la 21% de la 1 august 2025. Anterior, instituția a propus și scumpirea biletelor de tren.</w:t>
      </w:r>
      <w:r>
        <w:rPr>
          <w:rFonts w:ascii="Arial" w:hAnsi="Arial" w:cs="Arial"/>
          <w:sz w:val="28"/>
          <w:szCs w:val="28"/>
        </w:rPr>
        <w:t xml:space="preserve"> </w:t>
      </w:r>
      <w:r w:rsidRPr="00CC0A16">
        <w:rPr>
          <w:rFonts w:ascii="Arial" w:hAnsi="Arial" w:cs="Arial"/>
          <w:sz w:val="28"/>
          <w:szCs w:val="28"/>
        </w:rPr>
        <w:t>Amintim că tarifele la metrou au fost majorate anterior și de la 1 ianuarie 2025.</w:t>
      </w:r>
      <w:r>
        <w:rPr>
          <w:rFonts w:ascii="Arial" w:hAnsi="Arial" w:cs="Arial"/>
          <w:sz w:val="28"/>
          <w:szCs w:val="28"/>
        </w:rPr>
        <w:t xml:space="preserve"> Noul preț al unei călătorii cu metroul </w:t>
      </w:r>
      <w:proofErr w:type="gramStart"/>
      <w:r>
        <w:rPr>
          <w:rFonts w:ascii="Arial" w:hAnsi="Arial" w:cs="Arial"/>
          <w:sz w:val="28"/>
          <w:szCs w:val="28"/>
        </w:rPr>
        <w:t>va</w:t>
      </w:r>
      <w:proofErr w:type="gramEnd"/>
      <w:r>
        <w:rPr>
          <w:rFonts w:ascii="Arial" w:hAnsi="Arial" w:cs="Arial"/>
          <w:sz w:val="28"/>
          <w:szCs w:val="28"/>
        </w:rPr>
        <w:t xml:space="preserve"> fi 7 lei. </w:t>
      </w:r>
      <w:proofErr w:type="gramStart"/>
      <w:r>
        <w:rPr>
          <w:rFonts w:ascii="Arial" w:hAnsi="Arial" w:cs="Arial"/>
          <w:sz w:val="28"/>
          <w:szCs w:val="28"/>
        </w:rPr>
        <w:t>Un</w:t>
      </w:r>
      <w:proofErr w:type="gramEnd"/>
      <w:r>
        <w:rPr>
          <w:rFonts w:ascii="Arial" w:hAnsi="Arial" w:cs="Arial"/>
          <w:sz w:val="28"/>
          <w:szCs w:val="28"/>
        </w:rPr>
        <w:t xml:space="preserve"> abonament metropolitan și metrou pentru </w:t>
      </w:r>
      <w:r>
        <w:rPr>
          <w:rFonts w:ascii="Arial" w:hAnsi="Arial" w:cs="Arial"/>
          <w:sz w:val="28"/>
          <w:szCs w:val="28"/>
        </w:rPr>
        <w:lastRenderedPageBreak/>
        <w:t>o lună va costa 160 lei, iar același abonament cumpărat pentru 12 luni va costa 1.410 lei.</w:t>
      </w:r>
    </w:p>
    <w:sectPr w:rsidR="00CC0A16" w:rsidRPr="00802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6C5F"/>
    <w:multiLevelType w:val="multilevel"/>
    <w:tmpl w:val="7EB0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7401E"/>
    <w:multiLevelType w:val="hybridMultilevel"/>
    <w:tmpl w:val="60284D54"/>
    <w:lvl w:ilvl="0" w:tplc="CC381C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46A73"/>
    <w:multiLevelType w:val="hybridMultilevel"/>
    <w:tmpl w:val="A8E49DC6"/>
    <w:lvl w:ilvl="0" w:tplc="DEE0FA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33"/>
    <w:rsid w:val="000424FC"/>
    <w:rsid w:val="00074AA2"/>
    <w:rsid w:val="00156633"/>
    <w:rsid w:val="002D6472"/>
    <w:rsid w:val="003B6E0F"/>
    <w:rsid w:val="003F0AD9"/>
    <w:rsid w:val="00492AE9"/>
    <w:rsid w:val="007160EC"/>
    <w:rsid w:val="008028A3"/>
    <w:rsid w:val="009B62D7"/>
    <w:rsid w:val="00C72B61"/>
    <w:rsid w:val="00CC0A16"/>
    <w:rsid w:val="00ED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B5073"/>
  <w15:chartTrackingRefBased/>
  <w15:docId w15:val="{4E12774E-DA65-45B7-A5CA-32D9552C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4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A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7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74A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2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2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2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8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9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87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23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15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1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43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38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1644</Words>
  <Characters>9228</Characters>
  <Application>Microsoft Office Word</Application>
  <DocSecurity>0</DocSecurity>
  <Lines>167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</dc:creator>
  <cp:keywords/>
  <dc:description/>
  <cp:lastModifiedBy>ACA</cp:lastModifiedBy>
  <cp:revision>8</cp:revision>
  <dcterms:created xsi:type="dcterms:W3CDTF">2025-07-29T13:32:00Z</dcterms:created>
  <dcterms:modified xsi:type="dcterms:W3CDTF">2025-07-30T13:53:00Z</dcterms:modified>
</cp:coreProperties>
</file>